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DD7" w:rsidRPr="00045187" w:rsidRDefault="005A4DD7" w:rsidP="005A4DD7">
      <w:pPr>
        <w:ind w:firstLineChars="400" w:firstLine="1285"/>
        <w:rPr>
          <w:rFonts w:asciiTheme="minorEastAsia" w:hAnsiTheme="minorEastAsia" w:cstheme="minorEastAsia"/>
          <w:b/>
          <w:kern w:val="0"/>
          <w:sz w:val="32"/>
          <w:szCs w:val="32"/>
          <w:lang/>
        </w:rPr>
      </w:pPr>
      <w:r>
        <w:rPr>
          <w:rFonts w:asciiTheme="minorEastAsia" w:hAnsiTheme="minorEastAsia" w:cstheme="minorEastAsia" w:hint="eastAsia"/>
          <w:b/>
          <w:kern w:val="0"/>
          <w:sz w:val="32"/>
          <w:szCs w:val="32"/>
          <w:lang/>
        </w:rPr>
        <w:t>201</w:t>
      </w:r>
      <w:r>
        <w:rPr>
          <w:rFonts w:asciiTheme="minorEastAsia" w:hAnsiTheme="minorEastAsia" w:cstheme="minorEastAsia"/>
          <w:b/>
          <w:kern w:val="0"/>
          <w:sz w:val="32"/>
          <w:szCs w:val="32"/>
          <w:lang/>
        </w:rPr>
        <w:t>7</w:t>
      </w:r>
      <w:r>
        <w:rPr>
          <w:rFonts w:asciiTheme="minorEastAsia" w:hAnsiTheme="minorEastAsia" w:cstheme="minorEastAsia" w:hint="eastAsia"/>
          <w:b/>
          <w:kern w:val="0"/>
          <w:sz w:val="32"/>
          <w:szCs w:val="32"/>
          <w:lang/>
        </w:rPr>
        <w:t>年学生体质健康测试分析报告</w:t>
      </w:r>
    </w:p>
    <w:p w:rsidR="005A4DD7" w:rsidRDefault="005A4DD7" w:rsidP="005A4DD7">
      <w:pPr>
        <w:widowControl/>
        <w:spacing w:line="440" w:lineRule="exact"/>
        <w:ind w:firstLine="465"/>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2017年9月到12月，针对学院在校学生进行了体质健康测试。现将工作情况报告如下：</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一、测试前工作</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（一）研读文件，制定学院体质测试实施</w:t>
      </w:r>
      <w:r>
        <w:rPr>
          <w:rFonts w:asciiTheme="minorEastAsia" w:hAnsiTheme="minorEastAsia" w:cstheme="minorEastAsia"/>
          <w:kern w:val="0"/>
          <w:sz w:val="28"/>
          <w:szCs w:val="28"/>
          <w:lang/>
        </w:rPr>
        <w:t>计划</w:t>
      </w:r>
      <w:r>
        <w:rPr>
          <w:rFonts w:asciiTheme="minorEastAsia" w:hAnsiTheme="minorEastAsia" w:cstheme="minorEastAsia" w:hint="eastAsia"/>
          <w:kern w:val="0"/>
          <w:sz w:val="28"/>
          <w:szCs w:val="28"/>
          <w:lang/>
        </w:rPr>
        <w:t>办法，积极宣传和下发测试通知</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根据教育部《学生体质健康标准测试》及陕西省教育厅文件的精神，要求全国所有高校及中小学对学生体质健康进行测试评估，并完成每年的体质测试、统计上报教育厅和教育部“国家学生体质健康标准数据管理系统”。通过学习文件和上报要求，制定了学院体质测试管理办法，明确今年的测试项目，测试步骤和操作细则，并要求体育教师对各班进行《标准》的测试项目及锻炼方法的宣传教育，让他们认识《标准》实施办法的重要性和必要性，帮助学生了解健康的意义和锻炼目的，让学生懂得只有坚持经常锻炼才能增强体质、提高健康水平。</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（二）制定测试方案，组织人员培训</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9月下旬到10月上旬在</w:t>
      </w:r>
      <w:r>
        <w:rPr>
          <w:rFonts w:asciiTheme="minorEastAsia" w:hAnsiTheme="minorEastAsia" w:cstheme="minorEastAsia"/>
          <w:kern w:val="0"/>
          <w:sz w:val="28"/>
          <w:szCs w:val="28"/>
          <w:lang/>
        </w:rPr>
        <w:t>教务处</w:t>
      </w:r>
      <w:r>
        <w:rPr>
          <w:rFonts w:asciiTheme="minorEastAsia" w:hAnsiTheme="minorEastAsia" w:cstheme="minorEastAsia" w:hint="eastAsia"/>
          <w:kern w:val="0"/>
          <w:sz w:val="28"/>
          <w:szCs w:val="28"/>
          <w:lang/>
        </w:rPr>
        <w:t>和</w:t>
      </w:r>
      <w:r>
        <w:rPr>
          <w:rFonts w:asciiTheme="minorEastAsia" w:hAnsiTheme="minorEastAsia" w:cstheme="minorEastAsia"/>
          <w:kern w:val="0"/>
          <w:sz w:val="28"/>
          <w:szCs w:val="28"/>
          <w:lang/>
        </w:rPr>
        <w:t>各学院的配合下</w:t>
      </w:r>
      <w:r>
        <w:rPr>
          <w:rFonts w:asciiTheme="minorEastAsia" w:hAnsiTheme="minorEastAsia" w:cstheme="minorEastAsia" w:hint="eastAsia"/>
          <w:kern w:val="0"/>
          <w:sz w:val="28"/>
          <w:szCs w:val="28"/>
          <w:lang/>
        </w:rPr>
        <w:t>完成全体学生的信息采集,10月</w:t>
      </w:r>
      <w:r>
        <w:rPr>
          <w:rFonts w:asciiTheme="minorEastAsia" w:hAnsiTheme="minorEastAsia" w:cstheme="minorEastAsia"/>
          <w:kern w:val="0"/>
          <w:sz w:val="28"/>
          <w:szCs w:val="28"/>
          <w:lang/>
        </w:rPr>
        <w:t>中旬至</w:t>
      </w:r>
      <w:r>
        <w:rPr>
          <w:rFonts w:asciiTheme="minorEastAsia" w:hAnsiTheme="minorEastAsia" w:cstheme="minorEastAsia" w:hint="eastAsia"/>
          <w:kern w:val="0"/>
          <w:sz w:val="28"/>
          <w:szCs w:val="28"/>
          <w:lang/>
        </w:rPr>
        <w:t>12月</w:t>
      </w:r>
      <w:r>
        <w:rPr>
          <w:rFonts w:asciiTheme="minorEastAsia" w:hAnsiTheme="minorEastAsia" w:cstheme="minorEastAsia"/>
          <w:kern w:val="0"/>
          <w:sz w:val="28"/>
          <w:szCs w:val="28"/>
          <w:lang/>
        </w:rPr>
        <w:t>月上旬完成</w:t>
      </w:r>
      <w:r>
        <w:rPr>
          <w:rFonts w:asciiTheme="minorEastAsia" w:hAnsiTheme="minorEastAsia" w:cstheme="minorEastAsia" w:hint="eastAsia"/>
          <w:kern w:val="0"/>
          <w:sz w:val="28"/>
          <w:szCs w:val="28"/>
          <w:lang/>
        </w:rPr>
        <w:t>了室内外项目</w:t>
      </w:r>
      <w:r>
        <w:rPr>
          <w:rFonts w:asciiTheme="minorEastAsia" w:hAnsiTheme="minorEastAsia" w:cstheme="minorEastAsia"/>
          <w:kern w:val="0"/>
          <w:sz w:val="28"/>
          <w:szCs w:val="28"/>
          <w:lang/>
        </w:rPr>
        <w:t>的测试工作，</w:t>
      </w:r>
      <w:r>
        <w:rPr>
          <w:rFonts w:asciiTheme="minorEastAsia" w:hAnsiTheme="minorEastAsia" w:cstheme="minorEastAsia" w:hint="eastAsia"/>
          <w:kern w:val="0"/>
          <w:sz w:val="28"/>
          <w:szCs w:val="28"/>
          <w:lang/>
        </w:rPr>
        <w:t>12月</w:t>
      </w:r>
      <w:r>
        <w:rPr>
          <w:rFonts w:asciiTheme="minorEastAsia" w:hAnsiTheme="minorEastAsia" w:cstheme="minorEastAsia"/>
          <w:kern w:val="0"/>
          <w:sz w:val="28"/>
          <w:szCs w:val="28"/>
          <w:lang/>
        </w:rPr>
        <w:t>中旬</w:t>
      </w:r>
      <w:r>
        <w:rPr>
          <w:rFonts w:asciiTheme="minorEastAsia" w:hAnsiTheme="minorEastAsia" w:cstheme="minorEastAsia" w:hint="eastAsia"/>
          <w:kern w:val="0"/>
          <w:sz w:val="28"/>
          <w:szCs w:val="28"/>
          <w:lang/>
        </w:rPr>
        <w:t>完成</w:t>
      </w:r>
      <w:r>
        <w:rPr>
          <w:rFonts w:asciiTheme="minorEastAsia" w:hAnsiTheme="minorEastAsia" w:cstheme="minorEastAsia"/>
          <w:kern w:val="0"/>
          <w:sz w:val="28"/>
          <w:szCs w:val="28"/>
          <w:lang/>
        </w:rPr>
        <w:t>了</w:t>
      </w:r>
      <w:r>
        <w:rPr>
          <w:rFonts w:asciiTheme="minorEastAsia" w:hAnsiTheme="minorEastAsia" w:cstheme="minorEastAsia" w:hint="eastAsia"/>
          <w:kern w:val="0"/>
          <w:sz w:val="28"/>
          <w:szCs w:val="28"/>
          <w:lang/>
        </w:rPr>
        <w:t>在测试数据</w:t>
      </w:r>
      <w:r>
        <w:rPr>
          <w:rFonts w:asciiTheme="minorEastAsia" w:hAnsiTheme="minorEastAsia" w:cstheme="minorEastAsia"/>
          <w:kern w:val="0"/>
          <w:sz w:val="28"/>
          <w:szCs w:val="28"/>
          <w:lang/>
        </w:rPr>
        <w:t>的整理及上报工作。</w:t>
      </w:r>
      <w:r>
        <w:rPr>
          <w:rFonts w:asciiTheme="minorEastAsia" w:hAnsiTheme="minorEastAsia" w:cstheme="minorEastAsia" w:hint="eastAsia"/>
          <w:kern w:val="0"/>
          <w:sz w:val="28"/>
          <w:szCs w:val="28"/>
          <w:lang/>
        </w:rPr>
        <w:t>在进度安排下，分别对教师测试人员进行了培训，包括对《标准》及《实施办法》的学习，测试工作的组织和安全措施、测试的规则、方法和要求、测试结果及评定成绩方法，测试仪器的使用和保养等。在培训工作中注意理论联系实际，确保操作程序规范，测试方法科学，测试数据准确。</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二、测试中工作</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安全是健康的基础，在测试工作中我们始终将安全工作放在第一位。每次测试前，总是先仔细检查测试仪器设备，确保消除因场地器材设备造成的不安全因素。要求每次体能项目测试前进行充分的准备活动，检查和了解学生的身体健康情况，有病或身体状况不好的学生另行安排测试，杜绝意外伤害事故的发生。测试</w:t>
      </w:r>
      <w:r>
        <w:rPr>
          <w:rFonts w:asciiTheme="minorEastAsia" w:hAnsiTheme="minorEastAsia" w:cstheme="minorEastAsia"/>
          <w:kern w:val="0"/>
          <w:sz w:val="28"/>
          <w:szCs w:val="28"/>
          <w:lang/>
        </w:rPr>
        <w:t>教师</w:t>
      </w:r>
      <w:r>
        <w:rPr>
          <w:rFonts w:asciiTheme="minorEastAsia" w:hAnsiTheme="minorEastAsia" w:cstheme="minorEastAsia" w:hint="eastAsia"/>
          <w:kern w:val="0"/>
          <w:sz w:val="28"/>
          <w:szCs w:val="28"/>
          <w:lang/>
        </w:rPr>
        <w:t>详细</w:t>
      </w:r>
      <w:r>
        <w:rPr>
          <w:rFonts w:asciiTheme="minorEastAsia" w:hAnsiTheme="minorEastAsia" w:cstheme="minorEastAsia"/>
          <w:kern w:val="0"/>
          <w:sz w:val="28"/>
          <w:szCs w:val="28"/>
          <w:lang/>
        </w:rPr>
        <w:t>讲解每个项目的</w:t>
      </w:r>
      <w:r>
        <w:rPr>
          <w:rFonts w:asciiTheme="minorEastAsia" w:hAnsiTheme="minorEastAsia" w:cstheme="minorEastAsia" w:hint="eastAsia"/>
          <w:kern w:val="0"/>
          <w:sz w:val="28"/>
          <w:szCs w:val="28"/>
          <w:lang/>
        </w:rPr>
        <w:t>测试</w:t>
      </w:r>
      <w:r>
        <w:rPr>
          <w:rFonts w:asciiTheme="minorEastAsia" w:hAnsiTheme="minorEastAsia" w:cstheme="minorEastAsia"/>
          <w:kern w:val="0"/>
          <w:sz w:val="28"/>
          <w:szCs w:val="28"/>
          <w:lang/>
        </w:rPr>
        <w:t>方法和注意事项，要求学生高度重视，认真对待，确保测试数据的真实性</w:t>
      </w:r>
      <w:r>
        <w:rPr>
          <w:rFonts w:asciiTheme="minorEastAsia" w:hAnsiTheme="minorEastAsia" w:cstheme="minorEastAsia" w:hint="eastAsia"/>
          <w:kern w:val="0"/>
          <w:sz w:val="28"/>
          <w:szCs w:val="28"/>
          <w:lang/>
        </w:rPr>
        <w:t>。学生干部</w:t>
      </w:r>
      <w:r>
        <w:rPr>
          <w:rFonts w:asciiTheme="minorEastAsia" w:hAnsiTheme="minorEastAsia" w:cstheme="minorEastAsia"/>
          <w:kern w:val="0"/>
          <w:sz w:val="28"/>
          <w:szCs w:val="28"/>
          <w:lang/>
        </w:rPr>
        <w:t>配合维持测试秩序，保证测试工作</w:t>
      </w:r>
      <w:r>
        <w:rPr>
          <w:rFonts w:asciiTheme="minorEastAsia" w:hAnsiTheme="minorEastAsia" w:cstheme="minorEastAsia" w:hint="eastAsia"/>
          <w:kern w:val="0"/>
          <w:sz w:val="28"/>
          <w:szCs w:val="28"/>
          <w:lang/>
        </w:rPr>
        <w:t>有条不紊。</w:t>
      </w:r>
    </w:p>
    <w:p w:rsidR="005A4DD7" w:rsidRDefault="005A4DD7" w:rsidP="005A4DD7">
      <w:pPr>
        <w:widowControl/>
        <w:spacing w:line="440" w:lineRule="exact"/>
        <w:ind w:firstLine="560"/>
        <w:jc w:val="left"/>
        <w:rPr>
          <w:rFonts w:asciiTheme="minorEastAsia" w:hAnsiTheme="minorEastAsia" w:cstheme="minorEastAsia"/>
          <w:kern w:val="0"/>
          <w:sz w:val="28"/>
          <w:szCs w:val="28"/>
          <w:lang/>
        </w:rPr>
      </w:pP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lastRenderedPageBreak/>
        <w:t>三、测试后工作</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（一）数据整理和分析</w:t>
      </w:r>
    </w:p>
    <w:p w:rsidR="005A4DD7" w:rsidRDefault="005A4DD7" w:rsidP="005A4DD7">
      <w:pPr>
        <w:widowControl/>
        <w:spacing w:line="440" w:lineRule="exact"/>
        <w:ind w:firstLine="465"/>
        <w:jc w:val="left"/>
        <w:rPr>
          <w:rFonts w:asciiTheme="minorEastAsia" w:hAnsiTheme="minorEastAsia" w:cstheme="minorEastAsia"/>
          <w:color w:val="C00000"/>
          <w:sz w:val="28"/>
          <w:szCs w:val="28"/>
        </w:rPr>
      </w:pPr>
      <w:r>
        <w:rPr>
          <w:rFonts w:asciiTheme="minorEastAsia" w:hAnsiTheme="minorEastAsia" w:cstheme="minorEastAsia" w:hint="eastAsia"/>
          <w:kern w:val="0"/>
          <w:sz w:val="28"/>
          <w:szCs w:val="28"/>
          <w:lang/>
        </w:rPr>
        <w:t>对</w:t>
      </w:r>
      <w:r>
        <w:rPr>
          <w:rFonts w:asciiTheme="minorEastAsia" w:hAnsiTheme="minorEastAsia" w:cstheme="minorEastAsia"/>
          <w:kern w:val="0"/>
          <w:sz w:val="28"/>
          <w:szCs w:val="28"/>
          <w:lang/>
        </w:rPr>
        <w:t>所测试的</w:t>
      </w:r>
      <w:r>
        <w:rPr>
          <w:rFonts w:asciiTheme="minorEastAsia" w:hAnsiTheme="minorEastAsia" w:cstheme="minorEastAsia" w:hint="eastAsia"/>
          <w:kern w:val="0"/>
          <w:sz w:val="28"/>
          <w:szCs w:val="28"/>
          <w:lang/>
        </w:rPr>
        <w:t>12100多名</w:t>
      </w:r>
      <w:r>
        <w:rPr>
          <w:rFonts w:asciiTheme="minorEastAsia" w:hAnsiTheme="minorEastAsia" w:cstheme="minorEastAsia"/>
          <w:kern w:val="0"/>
          <w:sz w:val="28"/>
          <w:szCs w:val="28"/>
          <w:lang/>
        </w:rPr>
        <w:t>学生测试数据进行整理</w:t>
      </w:r>
      <w:r>
        <w:rPr>
          <w:rFonts w:asciiTheme="minorEastAsia" w:hAnsiTheme="minorEastAsia" w:cstheme="minorEastAsia" w:hint="eastAsia"/>
          <w:kern w:val="0"/>
          <w:sz w:val="28"/>
          <w:szCs w:val="28"/>
          <w:lang/>
        </w:rPr>
        <w:t>完善</w:t>
      </w:r>
      <w:r>
        <w:rPr>
          <w:rFonts w:asciiTheme="minorEastAsia" w:hAnsiTheme="minorEastAsia" w:cstheme="minorEastAsia"/>
          <w:kern w:val="0"/>
          <w:sz w:val="28"/>
          <w:szCs w:val="28"/>
          <w:lang/>
        </w:rPr>
        <w:t>，最终</w:t>
      </w:r>
      <w:r>
        <w:rPr>
          <w:rFonts w:asciiTheme="minorEastAsia" w:hAnsiTheme="minorEastAsia" w:cstheme="minorEastAsia" w:hint="eastAsia"/>
          <w:kern w:val="0"/>
          <w:sz w:val="28"/>
          <w:szCs w:val="28"/>
          <w:lang/>
        </w:rPr>
        <w:t>上报国家</w:t>
      </w:r>
      <w:r>
        <w:rPr>
          <w:rFonts w:asciiTheme="minorEastAsia" w:hAnsiTheme="minorEastAsia" w:cstheme="minorEastAsia"/>
          <w:kern w:val="0"/>
          <w:sz w:val="28"/>
          <w:szCs w:val="28"/>
          <w:lang/>
        </w:rPr>
        <w:t>学生体质</w:t>
      </w:r>
      <w:proofErr w:type="gramStart"/>
      <w:r>
        <w:rPr>
          <w:rFonts w:asciiTheme="minorEastAsia" w:hAnsiTheme="minorEastAsia" w:cstheme="minorEastAsia" w:hint="eastAsia"/>
          <w:kern w:val="0"/>
          <w:sz w:val="28"/>
          <w:szCs w:val="28"/>
          <w:lang/>
        </w:rPr>
        <w:t>健康网</w:t>
      </w:r>
      <w:proofErr w:type="gramEnd"/>
      <w:r>
        <w:rPr>
          <w:rFonts w:asciiTheme="minorEastAsia" w:hAnsiTheme="minorEastAsia" w:cstheme="minorEastAsia" w:hint="eastAsia"/>
          <w:kern w:val="0"/>
          <w:sz w:val="28"/>
          <w:szCs w:val="28"/>
          <w:lang/>
        </w:rPr>
        <w:t>的</w:t>
      </w:r>
      <w:r>
        <w:rPr>
          <w:rFonts w:asciiTheme="minorEastAsia" w:hAnsiTheme="minorEastAsia" w:cstheme="minorEastAsia"/>
          <w:kern w:val="0"/>
          <w:sz w:val="28"/>
          <w:szCs w:val="28"/>
          <w:lang/>
        </w:rPr>
        <w:t>各年</w:t>
      </w:r>
      <w:r>
        <w:rPr>
          <w:rFonts w:asciiTheme="minorEastAsia" w:hAnsiTheme="minorEastAsia" w:cstheme="minorEastAsia" w:hint="eastAsia"/>
          <w:kern w:val="0"/>
          <w:sz w:val="28"/>
          <w:szCs w:val="28"/>
          <w:lang/>
        </w:rPr>
        <w:t>级</w:t>
      </w:r>
      <w:r>
        <w:rPr>
          <w:rFonts w:asciiTheme="minorEastAsia" w:hAnsiTheme="minorEastAsia" w:cstheme="minorEastAsia"/>
          <w:kern w:val="0"/>
          <w:sz w:val="28"/>
          <w:szCs w:val="28"/>
          <w:lang/>
        </w:rPr>
        <w:t>学生数量如下：</w:t>
      </w:r>
      <w:r>
        <w:rPr>
          <w:rFonts w:asciiTheme="minorEastAsia" w:hAnsiTheme="minorEastAsia" w:cstheme="minorEastAsia" w:hint="eastAsia"/>
          <w:kern w:val="0"/>
          <w:sz w:val="28"/>
          <w:szCs w:val="28"/>
          <w:lang/>
        </w:rPr>
        <w:t>2015级学生人数为3962人；2016级学生人数为3730人；2017级学生人数为4199，上报学生总人数为11891人，及格率为71.97%。</w:t>
      </w:r>
    </w:p>
    <w:p w:rsidR="005A4DD7" w:rsidRDefault="005A4DD7" w:rsidP="005A4DD7">
      <w:pPr>
        <w:widowControl/>
        <w:numPr>
          <w:ilvl w:val="0"/>
          <w:numId w:val="1"/>
        </w:numPr>
        <w:spacing w:line="440" w:lineRule="exact"/>
        <w:ind w:firstLine="560"/>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体重指数</w:t>
      </w:r>
    </w:p>
    <w:p w:rsidR="005A4DD7" w:rsidRDefault="005A4DD7" w:rsidP="005A4DD7">
      <w:pPr>
        <w:widowControl/>
        <w:spacing w:line="440" w:lineRule="exact"/>
        <w:ind w:firstLineChars="200" w:firstLine="560"/>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体重指数（体重指数BMI=体重/身高</w:t>
      </w:r>
      <w:r>
        <w:rPr>
          <w:rFonts w:asciiTheme="minorEastAsia" w:hAnsiTheme="minorEastAsia" w:cstheme="minorEastAsia" w:hint="eastAsia"/>
          <w:kern w:val="0"/>
          <w:sz w:val="28"/>
          <w:szCs w:val="28"/>
          <w:vertAlign w:val="superscript"/>
          <w:lang/>
        </w:rPr>
        <w:t>2</w:t>
      </w:r>
      <w:r>
        <w:rPr>
          <w:rFonts w:asciiTheme="minorEastAsia" w:hAnsiTheme="minorEastAsia" w:cstheme="minorEastAsia" w:hint="eastAsia"/>
          <w:kern w:val="0"/>
          <w:sz w:val="28"/>
          <w:szCs w:val="28"/>
          <w:lang/>
        </w:rPr>
        <w:t>）是指身高与体重者的比例应在正常的范围，它通过身高与体重一定的比例关系、反映人体的围度、宽度和厚度以及人体的密度，是评价人体形态发育水平和营养状况及身体匀称度的重要指标。</w:t>
      </w:r>
    </w:p>
    <w:p w:rsidR="005A4DD7" w:rsidRDefault="005A4DD7" w:rsidP="005A4DD7">
      <w:pPr>
        <w:widowControl/>
        <w:spacing w:line="440" w:lineRule="exact"/>
        <w:jc w:val="center"/>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体重指数测试结果</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1"/>
        <w:gridCol w:w="1701"/>
        <w:gridCol w:w="1701"/>
        <w:gridCol w:w="1701"/>
        <w:gridCol w:w="1701"/>
      </w:tblGrid>
      <w:tr w:rsidR="005A4DD7" w:rsidTr="00D43E1F">
        <w:trPr>
          <w:trHeight w:val="359"/>
          <w:jc w:val="center"/>
        </w:trPr>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体重指数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正常人数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低体重人数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超重人数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肥胖人数</w:t>
            </w:r>
          </w:p>
        </w:tc>
      </w:tr>
      <w:tr w:rsidR="005A4DD7" w:rsidTr="00D43E1F">
        <w:trPr>
          <w:trHeight w:val="351"/>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r>
      <w:tr w:rsidR="005A4DD7" w:rsidTr="00D43E1F">
        <w:trPr>
          <w:trHeight w:val="351"/>
          <w:jc w:val="center"/>
        </w:trPr>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17级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3074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340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52</w:t>
            </w:r>
            <w:r>
              <w:rPr>
                <w:rFonts w:asciiTheme="minorEastAsia" w:hAnsiTheme="minorEastAsia" w:cstheme="minorEastAsia"/>
                <w:sz w:val="28"/>
                <w:szCs w:val="28"/>
              </w:rPr>
              <w:t>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sz w:val="28"/>
                <w:szCs w:val="28"/>
              </w:rPr>
              <w:t>259</w:t>
            </w:r>
          </w:p>
        </w:tc>
      </w:tr>
      <w:tr w:rsidR="005A4DD7" w:rsidTr="00D43E1F">
        <w:trPr>
          <w:trHeight w:val="351"/>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73.32</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8.10</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12.53</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6.16</w:t>
            </w:r>
            <w:r>
              <w:rPr>
                <w:rFonts w:asciiTheme="minorEastAsia" w:hAnsiTheme="minorEastAsia" w:cstheme="minorEastAsia"/>
                <w:sz w:val="28"/>
                <w:szCs w:val="28"/>
              </w:rPr>
              <w:t>%</w:t>
            </w:r>
          </w:p>
        </w:tc>
      </w:tr>
      <w:tr w:rsidR="005A4DD7" w:rsidTr="00D43E1F">
        <w:trPr>
          <w:trHeight w:val="351"/>
          <w:jc w:val="center"/>
        </w:trPr>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16级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2500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316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603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311</w:t>
            </w:r>
          </w:p>
        </w:tc>
      </w:tr>
      <w:tr w:rsidR="005A4DD7" w:rsidTr="00D43E1F">
        <w:trPr>
          <w:trHeight w:val="351"/>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67.02</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8.47</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16.17</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8.34</w:t>
            </w:r>
            <w:r>
              <w:rPr>
                <w:rFonts w:asciiTheme="minorEastAsia" w:hAnsiTheme="minorEastAsia" w:cstheme="minorEastAsia"/>
                <w:sz w:val="28"/>
                <w:szCs w:val="28"/>
              </w:rPr>
              <w:t>%</w:t>
            </w:r>
          </w:p>
        </w:tc>
      </w:tr>
      <w:tr w:rsidR="005A4DD7" w:rsidTr="00D43E1F">
        <w:trPr>
          <w:trHeight w:val="351"/>
          <w:jc w:val="center"/>
        </w:trPr>
        <w:tc>
          <w:tcPr>
            <w:tcW w:w="1701" w:type="dxa"/>
            <w:vMerge w:val="restart"/>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2777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257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576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352</w:t>
            </w:r>
          </w:p>
        </w:tc>
      </w:tr>
      <w:tr w:rsidR="005A4DD7" w:rsidTr="00D43E1F">
        <w:trPr>
          <w:trHeight w:val="351"/>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70.10</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ind w:firstLineChars="150" w:firstLine="420"/>
              <w:rPr>
                <w:rFonts w:asciiTheme="minorEastAsia" w:hAnsiTheme="minorEastAsia" w:cstheme="minorEastAsia"/>
                <w:sz w:val="28"/>
                <w:szCs w:val="28"/>
              </w:rPr>
            </w:pPr>
            <w:r>
              <w:rPr>
                <w:rFonts w:asciiTheme="minorEastAsia" w:hAnsiTheme="minorEastAsia" w:cstheme="minorEastAsia"/>
                <w:sz w:val="28"/>
                <w:szCs w:val="28"/>
              </w:rPr>
              <w:t>6.48%</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14.54</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8.88</w:t>
            </w:r>
            <w:r>
              <w:rPr>
                <w:rFonts w:asciiTheme="minorEastAsia" w:hAnsiTheme="minorEastAsia" w:cstheme="minorEastAsia"/>
                <w:sz w:val="28"/>
                <w:szCs w:val="28"/>
              </w:rPr>
              <w:t>%</w:t>
            </w:r>
          </w:p>
        </w:tc>
      </w:tr>
      <w:tr w:rsidR="005A4DD7" w:rsidTr="00D43E1F">
        <w:trPr>
          <w:trHeight w:val="351"/>
          <w:jc w:val="center"/>
        </w:trPr>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全院</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8351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913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1705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922</w:t>
            </w:r>
          </w:p>
        </w:tc>
      </w:tr>
      <w:tr w:rsidR="005A4DD7" w:rsidTr="00D43E1F">
        <w:trPr>
          <w:trHeight w:val="362"/>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70.23</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7.67</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14.33</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7.75</w:t>
            </w:r>
            <w:r>
              <w:rPr>
                <w:rFonts w:asciiTheme="minorEastAsia" w:hAnsiTheme="minorEastAsia" w:cstheme="minorEastAsia"/>
                <w:sz w:val="28"/>
                <w:szCs w:val="28"/>
              </w:rPr>
              <w:t>%</w:t>
            </w:r>
          </w:p>
        </w:tc>
      </w:tr>
    </w:tbl>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2、肺活量</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肺活量是指一次尽力吸气后，再尽力呼出的气体总量，是一次呼吸的最大通气量，在一定意义上可反映呼吸机能的潜在能力。 肺活量能充分反映胸廓大小，肺的弹性以及呼吸肌的力量和身体锻炼水平。</w:t>
      </w:r>
    </w:p>
    <w:p w:rsidR="005A4DD7" w:rsidRDefault="005A4DD7" w:rsidP="005A4DD7">
      <w:pPr>
        <w:widowControl/>
        <w:spacing w:line="440" w:lineRule="exact"/>
        <w:ind w:firstLineChars="1150" w:firstLine="322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肺活量测试结果</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1"/>
        <w:gridCol w:w="1701"/>
        <w:gridCol w:w="1701"/>
        <w:gridCol w:w="1701"/>
        <w:gridCol w:w="1701"/>
      </w:tblGrid>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肺活量</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优秀人数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良好人数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及格人数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不及格人数</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578</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959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2350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312</w:t>
            </w:r>
          </w:p>
        </w:tc>
      </w:tr>
      <w:tr w:rsidR="005A4DD7" w:rsidTr="00D43E1F">
        <w:trPr>
          <w:trHeight w:val="90"/>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13.76%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22.84%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55.96%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7.43%</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491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781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2101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357</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13.16%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20</w:t>
            </w:r>
            <w:r>
              <w:rPr>
                <w:rFonts w:asciiTheme="minorEastAsia" w:hAnsiTheme="minorEastAsia" w:cstheme="minorEastAsia"/>
                <w:sz w:val="28"/>
                <w:szCs w:val="28"/>
              </w:rPr>
              <w:t>.</w:t>
            </w:r>
            <w:r>
              <w:rPr>
                <w:rFonts w:asciiTheme="minorEastAsia" w:hAnsiTheme="minorEastAsia" w:cstheme="minorEastAsia" w:hint="eastAsia"/>
                <w:sz w:val="28"/>
                <w:szCs w:val="28"/>
              </w:rPr>
              <w:t>93</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56.34%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9.57%</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476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822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2241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423</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12.01%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20.75%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56.52%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10.67%</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全院</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1545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2562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6692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1092</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12.99%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21.51%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56.28%</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9.18%</w:t>
            </w:r>
          </w:p>
        </w:tc>
      </w:tr>
    </w:tbl>
    <w:p w:rsidR="005A4DD7" w:rsidRDefault="005A4DD7" w:rsidP="005A4DD7">
      <w:pPr>
        <w:widowControl/>
        <w:spacing w:line="440" w:lineRule="exact"/>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 xml:space="preserve">    3.50米</w:t>
      </w:r>
    </w:p>
    <w:p w:rsidR="005A4DD7" w:rsidRDefault="005A4DD7" w:rsidP="005A4DD7">
      <w:pPr>
        <w:widowControl/>
        <w:spacing w:line="440" w:lineRule="exact"/>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 xml:space="preserve">    50米</w:t>
      </w:r>
      <w:proofErr w:type="gramStart"/>
      <w:r>
        <w:rPr>
          <w:rFonts w:asciiTheme="minorEastAsia" w:hAnsiTheme="minorEastAsia" w:cstheme="minorEastAsia" w:hint="eastAsia"/>
          <w:kern w:val="0"/>
          <w:sz w:val="28"/>
          <w:szCs w:val="28"/>
          <w:lang/>
        </w:rPr>
        <w:t>跑主要</w:t>
      </w:r>
      <w:proofErr w:type="gramEnd"/>
      <w:r>
        <w:rPr>
          <w:rFonts w:asciiTheme="minorEastAsia" w:hAnsiTheme="minorEastAsia" w:cstheme="minorEastAsia" w:hint="eastAsia"/>
          <w:kern w:val="0"/>
          <w:sz w:val="28"/>
          <w:szCs w:val="28"/>
          <w:lang/>
        </w:rPr>
        <w:t>是测试学生速度、灵敏素质及神经系统灵活性的发展水平。</w:t>
      </w:r>
    </w:p>
    <w:p w:rsidR="005A4DD7" w:rsidRDefault="005A4DD7" w:rsidP="005A4DD7">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50米跑测试结果</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1"/>
        <w:gridCol w:w="1701"/>
        <w:gridCol w:w="1701"/>
        <w:gridCol w:w="1701"/>
        <w:gridCol w:w="1701"/>
      </w:tblGrid>
      <w:tr w:rsidR="005A4DD7" w:rsidTr="00D43E1F">
        <w:trPr>
          <w:jc w:val="center"/>
        </w:trPr>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50米</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优秀人数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良好人数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及格人数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不及格人数</w:t>
            </w:r>
          </w:p>
        </w:tc>
      </w:tr>
      <w:tr w:rsidR="005A4DD7" w:rsidTr="00D43E1F">
        <w:trPr>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r>
      <w:tr w:rsidR="005A4DD7" w:rsidTr="00D43E1F">
        <w:trPr>
          <w:jc w:val="center"/>
        </w:trPr>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487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795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2079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838</w:t>
            </w:r>
          </w:p>
        </w:tc>
      </w:tr>
      <w:tr w:rsidR="005A4DD7" w:rsidTr="00D43E1F">
        <w:trPr>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11.59%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18.93%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49.51%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19.95%</w:t>
            </w:r>
          </w:p>
        </w:tc>
      </w:tr>
      <w:tr w:rsidR="005A4DD7" w:rsidTr="00D43E1F">
        <w:trPr>
          <w:jc w:val="center"/>
        </w:trPr>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391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654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1761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924</w:t>
            </w:r>
          </w:p>
        </w:tc>
      </w:tr>
      <w:tr w:rsidR="005A4DD7" w:rsidTr="00D43E1F">
        <w:trPr>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10.48%</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17.53%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47.21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24.77%</w:t>
            </w:r>
          </w:p>
        </w:tc>
      </w:tr>
      <w:tr w:rsidR="005A4DD7" w:rsidTr="00D43E1F">
        <w:trPr>
          <w:jc w:val="center"/>
        </w:trPr>
        <w:tc>
          <w:tcPr>
            <w:tcW w:w="1701" w:type="dxa"/>
            <w:vMerge w:val="restart"/>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337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476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2084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1065</w:t>
            </w:r>
          </w:p>
        </w:tc>
      </w:tr>
      <w:tr w:rsidR="005A4DD7" w:rsidTr="00D43E1F">
        <w:trPr>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8.51%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12.01%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52.60%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26.88%</w:t>
            </w:r>
          </w:p>
        </w:tc>
      </w:tr>
      <w:tr w:rsidR="005A4DD7" w:rsidTr="00D43E1F">
        <w:trPr>
          <w:jc w:val="center"/>
        </w:trPr>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全院</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1215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1925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5924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2827</w:t>
            </w:r>
          </w:p>
        </w:tc>
      </w:tr>
      <w:tr w:rsidR="005A4DD7" w:rsidTr="00D43E1F">
        <w:trPr>
          <w:jc w:val="center"/>
        </w:trPr>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10.21%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16.19%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49.82%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23.77%</w:t>
            </w:r>
          </w:p>
        </w:tc>
      </w:tr>
    </w:tbl>
    <w:p w:rsidR="005A4DD7" w:rsidRDefault="005A4DD7" w:rsidP="005A4DD7">
      <w:pPr>
        <w:widowControl/>
        <w:numPr>
          <w:ilvl w:val="0"/>
          <w:numId w:val="2"/>
        </w:numPr>
        <w:spacing w:line="440" w:lineRule="exact"/>
        <w:ind w:firstLine="560"/>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坐位体前屈</w:t>
      </w:r>
    </w:p>
    <w:p w:rsidR="005A4DD7" w:rsidRDefault="005A4DD7" w:rsidP="005A4DD7">
      <w:pPr>
        <w:widowControl/>
        <w:spacing w:line="440" w:lineRule="exact"/>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 xml:space="preserve">    坐位体前屈测量学生在静止状态下的躯干、腰、髋等关节可能达到的活动幅度，主要反映这些部位的关节、韧带和肌肉的伸展性和弹性及学生身体柔韧素质的发展水平。</w:t>
      </w:r>
    </w:p>
    <w:p w:rsidR="005A4DD7" w:rsidRDefault="005A4DD7" w:rsidP="005A4DD7">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坐位体前屈测试结果</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1"/>
        <w:gridCol w:w="1701"/>
        <w:gridCol w:w="1701"/>
        <w:gridCol w:w="1701"/>
        <w:gridCol w:w="1701"/>
      </w:tblGrid>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坐位体前屈</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优秀人数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良好人数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及格人数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不及格人数</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353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844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1981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1021</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8.41%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20.10%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47.18%</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24.32%</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466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640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1839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785</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12.49%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17.16%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49.30%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21.04%</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303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486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2280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893</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7.64%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12.26%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57.54%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22.54%</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全院</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1122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1970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6100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2699</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9.43</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16.57%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51.30%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22.70%</w:t>
            </w:r>
          </w:p>
        </w:tc>
      </w:tr>
    </w:tbl>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5、立定跳远</w:t>
      </w:r>
    </w:p>
    <w:p w:rsidR="005A4DD7" w:rsidRDefault="005A4DD7" w:rsidP="005A4DD7">
      <w:pPr>
        <w:widowControl/>
        <w:spacing w:line="440" w:lineRule="exact"/>
        <w:ind w:firstLine="560"/>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立定跳远主要测试学生下肢爆发力及身体协调能力的发展水平。</w:t>
      </w:r>
    </w:p>
    <w:p w:rsidR="005A4DD7" w:rsidRDefault="005A4DD7" w:rsidP="005A4DD7">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立定跳远测试结果</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1"/>
        <w:gridCol w:w="1701"/>
        <w:gridCol w:w="1701"/>
        <w:gridCol w:w="1701"/>
        <w:gridCol w:w="1701"/>
      </w:tblGrid>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立定跳远</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优秀人数</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良好人数</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及格人数</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不及格人数</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rPr>
                <w:rFonts w:asciiTheme="minorEastAsia" w:hAnsiTheme="minorEastAsia" w:cstheme="minorEastAsia"/>
                <w:sz w:val="28"/>
                <w:szCs w:val="28"/>
              </w:rPr>
            </w:pP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17级</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523</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771</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1549</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1356</w:t>
            </w:r>
          </w:p>
        </w:tc>
      </w:tr>
      <w:tr w:rsidR="005A4DD7" w:rsidTr="00D43E1F">
        <w:tc>
          <w:tcPr>
            <w:tcW w:w="1701" w:type="dxa"/>
            <w:vMerge/>
            <w:shd w:val="clear" w:color="auto" w:fill="auto"/>
            <w:tcMar>
              <w:left w:w="108" w:type="dxa"/>
              <w:right w:w="108" w:type="dxa"/>
            </w:tcMar>
          </w:tcPr>
          <w:p w:rsidR="005A4DD7" w:rsidRDefault="005A4DD7" w:rsidP="00D43E1F">
            <w:pPr>
              <w:spacing w:line="440" w:lineRule="exact"/>
              <w:rPr>
                <w:rFonts w:asciiTheme="minorEastAsia" w:hAnsiTheme="minorEastAsia" w:cstheme="minorEastAsia"/>
                <w:sz w:val="28"/>
                <w:szCs w:val="28"/>
              </w:rPr>
            </w:pP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12.45%</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18.36%</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36.89%</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32.29%</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16级</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634</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896</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946</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1254</w:t>
            </w:r>
          </w:p>
        </w:tc>
      </w:tr>
      <w:tr w:rsidR="005A4DD7" w:rsidTr="00D43E1F">
        <w:tc>
          <w:tcPr>
            <w:tcW w:w="1701" w:type="dxa"/>
            <w:vMerge/>
            <w:shd w:val="clear" w:color="auto" w:fill="auto"/>
            <w:tcMar>
              <w:left w:w="108" w:type="dxa"/>
              <w:right w:w="108" w:type="dxa"/>
            </w:tcMar>
          </w:tcPr>
          <w:p w:rsidR="005A4DD7" w:rsidRDefault="005A4DD7" w:rsidP="00D43E1F">
            <w:pPr>
              <w:spacing w:line="440" w:lineRule="exact"/>
              <w:rPr>
                <w:rFonts w:asciiTheme="minorEastAsia" w:hAnsiTheme="minorEastAsia" w:cstheme="minorEastAsia"/>
                <w:sz w:val="28"/>
                <w:szCs w:val="28"/>
              </w:rPr>
            </w:pP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16.70%</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24.02%</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25.36%</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33.62%</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15级</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498</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362</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1615</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1487</w:t>
            </w:r>
          </w:p>
        </w:tc>
      </w:tr>
      <w:tr w:rsidR="005A4DD7" w:rsidTr="00D43E1F">
        <w:tc>
          <w:tcPr>
            <w:tcW w:w="1701" w:type="dxa"/>
            <w:vMerge/>
            <w:shd w:val="clear" w:color="auto" w:fill="auto"/>
            <w:tcMar>
              <w:left w:w="108" w:type="dxa"/>
              <w:right w:w="108" w:type="dxa"/>
            </w:tcMar>
          </w:tcPr>
          <w:p w:rsidR="005A4DD7" w:rsidRDefault="005A4DD7" w:rsidP="00D43E1F">
            <w:pPr>
              <w:spacing w:line="440" w:lineRule="exact"/>
              <w:rPr>
                <w:rFonts w:asciiTheme="minorEastAsia" w:hAnsiTheme="minorEastAsia" w:cstheme="minorEastAsia"/>
                <w:sz w:val="28"/>
                <w:szCs w:val="28"/>
              </w:rPr>
            </w:pP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12.57%</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9.13%</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40.76%</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37053%</w:t>
            </w:r>
          </w:p>
        </w:tc>
      </w:tr>
      <w:tr w:rsidR="005A4DD7" w:rsidTr="00D43E1F">
        <w:tc>
          <w:tcPr>
            <w:tcW w:w="1701" w:type="dxa"/>
            <w:vMerge w:val="restart"/>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全院</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1655</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2029</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4110</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4097</w:t>
            </w:r>
          </w:p>
        </w:tc>
      </w:tr>
      <w:tr w:rsidR="005A4DD7" w:rsidTr="00D43E1F">
        <w:trPr>
          <w:trHeight w:val="520"/>
        </w:trPr>
        <w:tc>
          <w:tcPr>
            <w:tcW w:w="1701" w:type="dxa"/>
            <w:vMerge/>
            <w:shd w:val="clear" w:color="auto" w:fill="auto"/>
            <w:tcMar>
              <w:left w:w="108" w:type="dxa"/>
              <w:right w:w="108" w:type="dxa"/>
            </w:tcMar>
          </w:tcPr>
          <w:p w:rsidR="005A4DD7" w:rsidRDefault="005A4DD7" w:rsidP="00D43E1F">
            <w:pPr>
              <w:spacing w:line="440" w:lineRule="exact"/>
              <w:rPr>
                <w:rFonts w:asciiTheme="minorEastAsia" w:hAnsiTheme="minorEastAsia" w:cstheme="minorEastAsia"/>
                <w:sz w:val="28"/>
                <w:szCs w:val="28"/>
              </w:rPr>
            </w:pP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13.92%</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17.06%</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34.56</w:t>
            </w:r>
            <w:r>
              <w:rPr>
                <w:rFonts w:asciiTheme="minorEastAsia" w:hAnsiTheme="minorEastAsia" w:cstheme="minorEastAsia"/>
                <w:sz w:val="28"/>
                <w:szCs w:val="28"/>
              </w:rPr>
              <w:t>%</w:t>
            </w:r>
          </w:p>
        </w:tc>
        <w:tc>
          <w:tcPr>
            <w:tcW w:w="1701" w:type="dxa"/>
            <w:shd w:val="clear" w:color="auto" w:fill="auto"/>
            <w:tcMar>
              <w:left w:w="108" w:type="dxa"/>
              <w:right w:w="108" w:type="dxa"/>
            </w:tcMa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34.45%</w:t>
            </w:r>
          </w:p>
        </w:tc>
      </w:tr>
    </w:tbl>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6、800米（女）/1000米（男）</w:t>
      </w:r>
    </w:p>
    <w:p w:rsidR="005A4DD7" w:rsidRPr="005A4150" w:rsidRDefault="005A4DD7" w:rsidP="005A4DD7">
      <w:pPr>
        <w:widowControl/>
        <w:spacing w:line="320" w:lineRule="exact"/>
        <w:ind w:firstLine="560"/>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800米或1000米跑测试学生耐力素质的发展水平，特别是心肺功能及肌肉耐力。800米（女）/1000米（男）测试结果</w:t>
      </w:r>
    </w:p>
    <w:tbl>
      <w:tblPr>
        <w:tblpPr w:leftFromText="180" w:rightFromText="180" w:vertAnchor="text" w:horzAnchor="margin" w:tblpY="372"/>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1"/>
        <w:gridCol w:w="1701"/>
        <w:gridCol w:w="1701"/>
        <w:gridCol w:w="1701"/>
        <w:gridCol w:w="1701"/>
      </w:tblGrid>
      <w:tr w:rsidR="005A4DD7" w:rsidTr="00D43E1F">
        <w:trPr>
          <w:trHeight w:val="482"/>
        </w:trPr>
        <w:tc>
          <w:tcPr>
            <w:tcW w:w="1701" w:type="dxa"/>
            <w:vMerge w:val="restart"/>
            <w:shd w:val="clear" w:color="auto" w:fill="auto"/>
            <w:tcMar>
              <w:left w:w="108" w:type="dxa"/>
              <w:right w:w="108" w:type="dxa"/>
            </w:tcMar>
            <w:vAlign w:val="center"/>
          </w:tcPr>
          <w:p w:rsidR="005A4DD7" w:rsidRDefault="005A4DD7" w:rsidP="00D43E1F">
            <w:pPr>
              <w:widowControl/>
              <w:spacing w:line="320" w:lineRule="exact"/>
              <w:jc w:val="center"/>
              <w:rPr>
                <w:rFonts w:asciiTheme="minorEastAsia" w:hAnsiTheme="minorEastAsia" w:cstheme="minorEastAsia"/>
                <w:sz w:val="28"/>
                <w:szCs w:val="28"/>
              </w:rPr>
            </w:pPr>
            <w:r>
              <w:rPr>
                <w:rFonts w:asciiTheme="minorEastAsia" w:hAnsiTheme="minorEastAsia" w:cstheme="minorEastAsia" w:hint="eastAsia"/>
                <w:kern w:val="0"/>
                <w:szCs w:val="21"/>
                <w:lang/>
              </w:rPr>
              <w:t>1分钟仰卧起坐/引体向上</w:t>
            </w:r>
          </w:p>
        </w:tc>
        <w:tc>
          <w:tcPr>
            <w:tcW w:w="1701" w:type="dxa"/>
            <w:shd w:val="clear" w:color="auto" w:fill="auto"/>
            <w:tcMar>
              <w:left w:w="108" w:type="dxa"/>
              <w:right w:w="108" w:type="dxa"/>
            </w:tcMar>
            <w:vAlign w:val="center"/>
          </w:tcPr>
          <w:p w:rsidR="005A4DD7" w:rsidRDefault="005A4DD7" w:rsidP="00D43E1F">
            <w:pPr>
              <w:widowControl/>
              <w:spacing w:line="32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优秀人数</w:t>
            </w:r>
          </w:p>
        </w:tc>
        <w:tc>
          <w:tcPr>
            <w:tcW w:w="1701" w:type="dxa"/>
            <w:shd w:val="clear" w:color="auto" w:fill="auto"/>
            <w:tcMar>
              <w:left w:w="108" w:type="dxa"/>
              <w:right w:w="108" w:type="dxa"/>
            </w:tcMar>
            <w:vAlign w:val="center"/>
          </w:tcPr>
          <w:p w:rsidR="005A4DD7" w:rsidRDefault="005A4DD7" w:rsidP="00D43E1F">
            <w:pPr>
              <w:widowControl/>
              <w:spacing w:line="32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良好人数</w:t>
            </w:r>
          </w:p>
        </w:tc>
        <w:tc>
          <w:tcPr>
            <w:tcW w:w="1701" w:type="dxa"/>
            <w:shd w:val="clear" w:color="auto" w:fill="auto"/>
            <w:tcMar>
              <w:left w:w="108" w:type="dxa"/>
              <w:right w:w="108" w:type="dxa"/>
            </w:tcMar>
            <w:vAlign w:val="center"/>
          </w:tcPr>
          <w:p w:rsidR="005A4DD7" w:rsidRDefault="005A4DD7" w:rsidP="00D43E1F">
            <w:pPr>
              <w:widowControl/>
              <w:spacing w:line="32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及格人数</w:t>
            </w:r>
          </w:p>
        </w:tc>
        <w:tc>
          <w:tcPr>
            <w:tcW w:w="1701" w:type="dxa"/>
            <w:shd w:val="clear" w:color="auto" w:fill="auto"/>
            <w:tcMar>
              <w:left w:w="108" w:type="dxa"/>
              <w:right w:w="108" w:type="dxa"/>
            </w:tcMar>
            <w:vAlign w:val="center"/>
          </w:tcPr>
          <w:p w:rsidR="005A4DD7" w:rsidRDefault="005A4DD7" w:rsidP="00D43E1F">
            <w:pPr>
              <w:widowControl/>
              <w:spacing w:line="32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不及格人数</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334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623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1456</w:t>
            </w:r>
          </w:p>
        </w:tc>
        <w:tc>
          <w:tcPr>
            <w:tcW w:w="1701" w:type="dxa"/>
            <w:shd w:val="clear" w:color="auto" w:fill="auto"/>
            <w:tcMar>
              <w:left w:w="108" w:type="dxa"/>
              <w:right w:w="108" w:type="dxa"/>
            </w:tcMar>
            <w:vAlign w:val="center"/>
          </w:tcPr>
          <w:p w:rsidR="005A4DD7" w:rsidRDefault="005A4DD7" w:rsidP="00D43E1F">
            <w:pPr>
              <w:widowControl/>
              <w:spacing w:line="440" w:lineRule="exact"/>
              <w:ind w:firstLineChars="100" w:firstLine="280"/>
              <w:rPr>
                <w:rFonts w:asciiTheme="minorEastAsia" w:hAnsiTheme="minorEastAsia" w:cstheme="minorEastAsia"/>
                <w:sz w:val="28"/>
                <w:szCs w:val="28"/>
              </w:rPr>
            </w:pPr>
            <w:r>
              <w:rPr>
                <w:rFonts w:asciiTheme="minorEastAsia" w:hAnsiTheme="minorEastAsia" w:cstheme="minorEastAsia"/>
                <w:sz w:val="28"/>
                <w:szCs w:val="28"/>
              </w:rPr>
              <w:t>1786</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7.96%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14.84%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34.67%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42.53%</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489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344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1584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1313</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13.11%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9.22%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42.46%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35.20%</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398</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519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1515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1530</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10.04%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13.10%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38.24%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38.62%</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全院</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1221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1486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4555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4629</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w:t>
            </w:r>
            <w:r>
              <w:rPr>
                <w:rFonts w:asciiTheme="minorEastAsia" w:hAnsiTheme="minorEastAsia" w:cstheme="minorEastAsia"/>
                <w:sz w:val="28"/>
                <w:szCs w:val="28"/>
              </w:rPr>
              <w:t>.</w:t>
            </w:r>
            <w:r>
              <w:rPr>
                <w:rFonts w:asciiTheme="minorEastAsia" w:hAnsiTheme="minorEastAsia" w:cstheme="minorEastAsia" w:hint="eastAsia"/>
                <w:sz w:val="28"/>
                <w:szCs w:val="28"/>
              </w:rPr>
              <w:t>27</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12.50%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38.31%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38.92%</w:t>
            </w:r>
          </w:p>
        </w:tc>
      </w:tr>
    </w:tbl>
    <w:p w:rsidR="005A4DD7" w:rsidRDefault="005A4DD7" w:rsidP="005A4DD7">
      <w:pPr>
        <w:widowControl/>
        <w:spacing w:line="440" w:lineRule="exact"/>
        <w:ind w:firstLine="560"/>
        <w:jc w:val="center"/>
        <w:rPr>
          <w:rFonts w:asciiTheme="minorEastAsia" w:hAnsiTheme="minorEastAsia" w:cstheme="minorEastAsia"/>
          <w:kern w:val="0"/>
          <w:sz w:val="28"/>
          <w:szCs w:val="28"/>
          <w:lang/>
        </w:rPr>
      </w:pPr>
    </w:p>
    <w:p w:rsidR="005A4DD7" w:rsidRDefault="005A4DD7" w:rsidP="005A4DD7">
      <w:pPr>
        <w:widowControl/>
        <w:spacing w:line="440" w:lineRule="exact"/>
        <w:ind w:firstLine="560"/>
        <w:jc w:val="left"/>
        <w:rPr>
          <w:rFonts w:asciiTheme="minorEastAsia" w:hAnsiTheme="minorEastAsia" w:cstheme="minorEastAsia"/>
          <w:kern w:val="0"/>
          <w:sz w:val="28"/>
          <w:szCs w:val="28"/>
          <w:lang/>
        </w:rPr>
      </w:pPr>
      <w:r>
        <w:rPr>
          <w:rFonts w:asciiTheme="minorEastAsia" w:hAnsiTheme="minorEastAsia" w:cstheme="minorEastAsia"/>
          <w:kern w:val="0"/>
          <w:sz w:val="28"/>
          <w:szCs w:val="28"/>
          <w:lang/>
        </w:rPr>
        <w:lastRenderedPageBreak/>
        <w:t>7.</w:t>
      </w:r>
      <w:r>
        <w:rPr>
          <w:rFonts w:asciiTheme="minorEastAsia" w:hAnsiTheme="minorEastAsia" w:cstheme="minorEastAsia" w:hint="eastAsia"/>
          <w:kern w:val="0"/>
          <w:sz w:val="28"/>
          <w:szCs w:val="28"/>
          <w:lang/>
        </w:rPr>
        <w:t>1分钟仰卧起坐和引体向上体现的是女生腹肌耐力和男生上肢力量的发展水平，从而代表人的力量素质。</w:t>
      </w:r>
    </w:p>
    <w:p w:rsidR="005A4DD7" w:rsidRDefault="005A4DD7" w:rsidP="005A4DD7">
      <w:pPr>
        <w:widowControl/>
        <w:spacing w:line="400" w:lineRule="exact"/>
        <w:ind w:firstLineChars="350" w:firstLine="980"/>
        <w:rPr>
          <w:rFonts w:asciiTheme="minorEastAsia" w:hAnsiTheme="minorEastAsia" w:cstheme="minorEastAsia"/>
          <w:sz w:val="28"/>
          <w:szCs w:val="28"/>
        </w:rPr>
      </w:pPr>
      <w:r>
        <w:rPr>
          <w:rFonts w:asciiTheme="minorEastAsia" w:hAnsiTheme="minorEastAsia" w:cstheme="minorEastAsia" w:hint="eastAsia"/>
          <w:kern w:val="0"/>
          <w:sz w:val="28"/>
          <w:szCs w:val="28"/>
          <w:lang/>
        </w:rPr>
        <w:t>1分钟仰卧起坐（女）/引体向上（男）测试结果</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1"/>
        <w:gridCol w:w="1701"/>
        <w:gridCol w:w="1701"/>
        <w:gridCol w:w="1701"/>
        <w:gridCol w:w="1701"/>
      </w:tblGrid>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4"/>
              </w:rPr>
            </w:pPr>
            <w:r>
              <w:rPr>
                <w:rFonts w:asciiTheme="minorEastAsia" w:hAnsiTheme="minorEastAsia" w:cstheme="minorEastAsia" w:hint="eastAsia"/>
                <w:kern w:val="0"/>
                <w:sz w:val="24"/>
                <w:lang/>
              </w:rPr>
              <w:t>800米（女）/1000米（男）</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优秀人数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良好人数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及格人数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不及格人数</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482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2022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1492</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2.45%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9.95%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48.15%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35.53%</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189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563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1755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1223</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5.06%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15.09%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47.05%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32.79%</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539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1888</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w:t>
            </w:r>
            <w:r>
              <w:rPr>
                <w:rFonts w:asciiTheme="minorEastAsia" w:hAnsiTheme="minorEastAsia" w:cstheme="minorEastAsia"/>
                <w:sz w:val="28"/>
                <w:szCs w:val="28"/>
              </w:rPr>
              <w:t>56</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4.51%</w:t>
            </w:r>
          </w:p>
        </w:tc>
        <w:tc>
          <w:tcPr>
            <w:tcW w:w="1701" w:type="dxa"/>
            <w:shd w:val="clear" w:color="auto" w:fill="auto"/>
            <w:tcMar>
              <w:left w:w="108" w:type="dxa"/>
              <w:right w:w="108" w:type="dxa"/>
            </w:tcMar>
            <w:vAlign w:val="center"/>
          </w:tcPr>
          <w:p w:rsidR="005A4DD7" w:rsidRDefault="005A4DD7" w:rsidP="00D43E1F">
            <w:pPr>
              <w:widowControl/>
              <w:spacing w:line="44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13.60</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47.65</w:t>
            </w:r>
            <w:r>
              <w:rPr>
                <w:rFonts w:asciiTheme="minorEastAsia" w:hAnsiTheme="minorEastAsia" w:cstheme="minorEastAsia"/>
                <w:sz w:val="28"/>
                <w:szCs w:val="28"/>
              </w:rPr>
              <w:t>%</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34.25%</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全院</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471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1584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5665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4071</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3.96%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13.32%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47.64%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34.23%</w:t>
            </w:r>
          </w:p>
        </w:tc>
      </w:tr>
    </w:tbl>
    <w:p w:rsidR="005A4DD7" w:rsidRDefault="005A4DD7" w:rsidP="005A4DD7">
      <w:pPr>
        <w:widowControl/>
        <w:spacing w:line="440" w:lineRule="exact"/>
        <w:ind w:firstLineChars="200" w:firstLine="560"/>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（一）综合评分</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综合评分是从身体形态、身体机能和身体素质等方面综合评定学生的体质健康水平。各测试单项项目得分乘以相应的权重之和记为综合评分分数。全院总及格率为71.97%，不及格率为28.03%，优秀率5.60%。</w:t>
      </w:r>
    </w:p>
    <w:p w:rsidR="005A4DD7" w:rsidRDefault="005A4DD7" w:rsidP="005A4DD7">
      <w:pPr>
        <w:widowControl/>
        <w:spacing w:line="440" w:lineRule="exact"/>
        <w:ind w:firstLineChars="1150" w:firstLine="322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综合评分测试结果</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01"/>
        <w:gridCol w:w="1701"/>
        <w:gridCol w:w="1701"/>
        <w:gridCol w:w="1701"/>
        <w:gridCol w:w="1701"/>
      </w:tblGrid>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综合评分</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优秀人数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良好人数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及格人数</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不及格人数</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百分比</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17级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213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435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2199</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1352</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5.07%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10.36%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52.36%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32.20%</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256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607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1811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1056</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6.86%</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16.275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48.55%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28.31%</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sz w:val="28"/>
                <w:szCs w:val="28"/>
              </w:rPr>
              <w:t>5</w:t>
            </w:r>
            <w:r>
              <w:rPr>
                <w:rFonts w:asciiTheme="minorEastAsia" w:hAnsiTheme="minorEastAsia" w:cstheme="minorEastAsia" w:hint="eastAsia"/>
                <w:sz w:val="28"/>
                <w:szCs w:val="28"/>
              </w:rPr>
              <w:t>级</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198</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421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2297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1046</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4.94%</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10.62%</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57.75%</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26.40%</w:t>
            </w:r>
          </w:p>
        </w:tc>
      </w:tr>
      <w:tr w:rsidR="005A4DD7" w:rsidTr="00D43E1F">
        <w:tc>
          <w:tcPr>
            <w:tcW w:w="1701" w:type="dxa"/>
            <w:vMerge w:val="restart"/>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kern w:val="0"/>
                <w:sz w:val="28"/>
                <w:szCs w:val="28"/>
                <w:lang/>
              </w:rPr>
              <w:t>全院</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667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1463</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6311</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3452</w:t>
            </w:r>
          </w:p>
        </w:tc>
      </w:tr>
      <w:tr w:rsidR="005A4DD7" w:rsidTr="00D43E1F">
        <w:tc>
          <w:tcPr>
            <w:tcW w:w="1701" w:type="dxa"/>
            <w:vMerge/>
            <w:shd w:val="clear" w:color="auto" w:fill="auto"/>
            <w:tcMar>
              <w:left w:w="108" w:type="dxa"/>
              <w:right w:w="108" w:type="dxa"/>
            </w:tcMar>
            <w:vAlign w:val="center"/>
          </w:tcPr>
          <w:p w:rsidR="005A4DD7" w:rsidRDefault="005A4DD7" w:rsidP="00D43E1F">
            <w:pPr>
              <w:spacing w:line="440" w:lineRule="exact"/>
              <w:jc w:val="center"/>
              <w:rPr>
                <w:rFonts w:asciiTheme="minorEastAsia" w:hAnsiTheme="minorEastAsia" w:cstheme="minorEastAsia"/>
                <w:sz w:val="28"/>
                <w:szCs w:val="28"/>
              </w:rPr>
            </w:pP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5.60%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13.30%</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53.07%</w:t>
            </w:r>
          </w:p>
        </w:tc>
        <w:tc>
          <w:tcPr>
            <w:tcW w:w="1701" w:type="dxa"/>
            <w:shd w:val="clear" w:color="auto" w:fill="auto"/>
            <w:tcMar>
              <w:left w:w="108" w:type="dxa"/>
              <w:right w:w="108" w:type="dxa"/>
            </w:tcMar>
            <w:vAlign w:val="center"/>
          </w:tcPr>
          <w:p w:rsidR="005A4DD7" w:rsidRDefault="005A4DD7" w:rsidP="00D43E1F">
            <w:pPr>
              <w:widowControl/>
              <w:spacing w:line="44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28</w:t>
            </w:r>
            <w:r>
              <w:rPr>
                <w:rFonts w:asciiTheme="minorEastAsia" w:hAnsiTheme="minorEastAsia" w:cstheme="minorEastAsia"/>
                <w:sz w:val="28"/>
                <w:szCs w:val="28"/>
              </w:rPr>
              <w:t>.</w:t>
            </w:r>
            <w:r>
              <w:rPr>
                <w:rFonts w:asciiTheme="minorEastAsia" w:hAnsiTheme="minorEastAsia" w:cstheme="minorEastAsia" w:hint="eastAsia"/>
                <w:sz w:val="28"/>
                <w:szCs w:val="28"/>
              </w:rPr>
              <w:t>03</w:t>
            </w:r>
            <w:r>
              <w:rPr>
                <w:rFonts w:asciiTheme="minorEastAsia" w:hAnsiTheme="minorEastAsia" w:cstheme="minorEastAsia"/>
                <w:sz w:val="28"/>
                <w:szCs w:val="28"/>
              </w:rPr>
              <w:t>%</w:t>
            </w:r>
          </w:p>
        </w:tc>
      </w:tr>
    </w:tbl>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（二）体质测试数据结论</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从测试项目分析的结果来看，学生身体发育水平和营养状况基本正常，学生肺活量和800（女）、</w:t>
      </w:r>
      <w:r>
        <w:rPr>
          <w:rFonts w:asciiTheme="minorEastAsia" w:hAnsiTheme="minorEastAsia" w:cstheme="minorEastAsia"/>
          <w:kern w:val="0"/>
          <w:sz w:val="28"/>
          <w:szCs w:val="28"/>
          <w:lang/>
        </w:rPr>
        <w:t>1000</w:t>
      </w:r>
      <w:r>
        <w:rPr>
          <w:rFonts w:asciiTheme="minorEastAsia" w:hAnsiTheme="minorEastAsia" w:cstheme="minorEastAsia" w:hint="eastAsia"/>
          <w:kern w:val="0"/>
          <w:sz w:val="28"/>
          <w:szCs w:val="28"/>
          <w:lang/>
        </w:rPr>
        <w:t>（男）米两个项目的优秀、良</w:t>
      </w:r>
      <w:r>
        <w:rPr>
          <w:rFonts w:asciiTheme="minorEastAsia" w:hAnsiTheme="minorEastAsia" w:cstheme="minorEastAsia" w:hint="eastAsia"/>
          <w:kern w:val="0"/>
          <w:sz w:val="28"/>
          <w:szCs w:val="28"/>
          <w:lang/>
        </w:rPr>
        <w:lastRenderedPageBreak/>
        <w:t>好以上水平人数较多，呼吸功能和耐力素质水平比较好，说明学生是具备身体锻炼的能力，并有一定的运动水平；学生整体力量</w:t>
      </w:r>
      <w:proofErr w:type="gramStart"/>
      <w:r>
        <w:rPr>
          <w:rFonts w:asciiTheme="minorEastAsia" w:hAnsiTheme="minorEastAsia" w:cstheme="minorEastAsia"/>
          <w:kern w:val="0"/>
          <w:sz w:val="28"/>
          <w:szCs w:val="28"/>
          <w:lang/>
        </w:rPr>
        <w:t>素质</w:t>
      </w:r>
      <w:r>
        <w:rPr>
          <w:rFonts w:asciiTheme="minorEastAsia" w:hAnsiTheme="minorEastAsia" w:cstheme="minorEastAsia" w:hint="eastAsia"/>
          <w:kern w:val="0"/>
          <w:sz w:val="28"/>
          <w:szCs w:val="28"/>
          <w:lang/>
        </w:rPr>
        <w:t>素质</w:t>
      </w:r>
      <w:proofErr w:type="gramEnd"/>
      <w:r>
        <w:rPr>
          <w:rFonts w:asciiTheme="minorEastAsia" w:hAnsiTheme="minorEastAsia" w:cstheme="minorEastAsia" w:hint="eastAsia"/>
          <w:kern w:val="0"/>
          <w:sz w:val="28"/>
          <w:szCs w:val="28"/>
          <w:lang/>
        </w:rPr>
        <w:t>较差般，尤其是</w:t>
      </w:r>
      <w:r>
        <w:rPr>
          <w:rFonts w:asciiTheme="minorEastAsia" w:hAnsiTheme="minorEastAsia" w:cstheme="minorEastAsia"/>
          <w:kern w:val="0"/>
          <w:sz w:val="28"/>
          <w:szCs w:val="28"/>
          <w:lang/>
        </w:rPr>
        <w:t>女生的下肢爆发</w:t>
      </w:r>
      <w:r>
        <w:rPr>
          <w:rFonts w:asciiTheme="minorEastAsia" w:hAnsiTheme="minorEastAsia" w:cstheme="minorEastAsia" w:hint="eastAsia"/>
          <w:kern w:val="0"/>
          <w:sz w:val="28"/>
          <w:szCs w:val="28"/>
          <w:lang/>
        </w:rPr>
        <w:t>力</w:t>
      </w:r>
      <w:r>
        <w:rPr>
          <w:rFonts w:asciiTheme="minorEastAsia" w:hAnsiTheme="minorEastAsia" w:cstheme="minorEastAsia"/>
          <w:kern w:val="0"/>
          <w:sz w:val="28"/>
          <w:szCs w:val="28"/>
          <w:lang/>
        </w:rPr>
        <w:t>量</w:t>
      </w:r>
      <w:r>
        <w:rPr>
          <w:rFonts w:asciiTheme="minorEastAsia" w:hAnsiTheme="minorEastAsia" w:cstheme="minorEastAsia" w:hint="eastAsia"/>
          <w:kern w:val="0"/>
          <w:sz w:val="28"/>
          <w:szCs w:val="28"/>
          <w:lang/>
        </w:rPr>
        <w:t>及</w:t>
      </w:r>
      <w:r>
        <w:rPr>
          <w:rFonts w:asciiTheme="minorEastAsia" w:hAnsiTheme="minorEastAsia" w:cstheme="minorEastAsia"/>
          <w:kern w:val="0"/>
          <w:sz w:val="28"/>
          <w:szCs w:val="28"/>
          <w:lang/>
        </w:rPr>
        <w:t>身体协调性、男生的上肢力量</w:t>
      </w:r>
      <w:r>
        <w:rPr>
          <w:rFonts w:asciiTheme="minorEastAsia" w:hAnsiTheme="minorEastAsia" w:cstheme="minorEastAsia" w:hint="eastAsia"/>
          <w:kern w:val="0"/>
          <w:sz w:val="28"/>
          <w:szCs w:val="28"/>
          <w:lang/>
        </w:rPr>
        <w:t>素质普遍较差；女生腹肌耐力、男生上肢力量和</w:t>
      </w:r>
      <w:r>
        <w:rPr>
          <w:rFonts w:asciiTheme="minorEastAsia" w:hAnsiTheme="minorEastAsia" w:cstheme="minorEastAsia"/>
          <w:kern w:val="0"/>
          <w:sz w:val="28"/>
          <w:szCs w:val="28"/>
          <w:lang/>
        </w:rPr>
        <w:t>柔韧素质</w:t>
      </w:r>
      <w:r>
        <w:rPr>
          <w:rFonts w:asciiTheme="minorEastAsia" w:hAnsiTheme="minorEastAsia" w:cstheme="minorEastAsia" w:hint="eastAsia"/>
          <w:kern w:val="0"/>
          <w:sz w:val="28"/>
          <w:szCs w:val="28"/>
          <w:lang/>
        </w:rPr>
        <w:t>普遍一般，优秀者极少；男生上肢肌肉力量、心血管呼吸系统机能个体悬殊大。</w:t>
      </w:r>
    </w:p>
    <w:p w:rsidR="005A4DD7" w:rsidRDefault="005A4DD7" w:rsidP="005A4DD7">
      <w:pPr>
        <w:widowControl/>
        <w:spacing w:line="440" w:lineRule="exact"/>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 xml:space="preserve">    整体来说，今年我校学生体质大部分都能达到及格或以上标准，学生之间个体差异明显，各项目的个体差异也非常明显。</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（三）填写学生体质健康档案及公布测试结果</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我们对测试的原始数据和统计资料都进行了妥善保存，学生在校期间最后一次测试完成后打印成绩登记表，毕业后存入学生档案。</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四、建议</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（一）应把《标准》测试工作和体育教学活动、学生群体活动结合起来开展，</w:t>
      </w:r>
      <w:r>
        <w:rPr>
          <w:rFonts w:asciiTheme="minorEastAsia" w:hAnsiTheme="minorEastAsia" w:cstheme="minorEastAsia"/>
          <w:kern w:val="0"/>
          <w:sz w:val="28"/>
          <w:szCs w:val="28"/>
          <w:lang/>
        </w:rPr>
        <w:t>注重加强学生身体素质的锻炼</w:t>
      </w:r>
      <w:r>
        <w:rPr>
          <w:rFonts w:asciiTheme="minorEastAsia" w:hAnsiTheme="minorEastAsia" w:cstheme="minorEastAsia" w:hint="eastAsia"/>
          <w:kern w:val="0"/>
          <w:sz w:val="28"/>
          <w:szCs w:val="28"/>
          <w:lang/>
        </w:rPr>
        <w:t>指导。</w:t>
      </w:r>
    </w:p>
    <w:p w:rsidR="005A4DD7" w:rsidRDefault="005A4DD7" w:rsidP="005A4DD7">
      <w:pPr>
        <w:widowControl/>
        <w:spacing w:line="440" w:lineRule="exact"/>
        <w:ind w:firstLine="56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（二）建议学校采用智能化测试系统，能减少教师教学以外的工作量，并提高个体数据的准确性，尽量减少由人工带来的负面影响因素。同时配备一定数量的体质测试仪器，提高测试效率，减少延误。</w:t>
      </w:r>
    </w:p>
    <w:p w:rsidR="005A4DD7" w:rsidRDefault="005A4DD7" w:rsidP="005A4DD7">
      <w:pPr>
        <w:widowControl/>
        <w:spacing w:line="440" w:lineRule="exact"/>
        <w:ind w:firstLine="560"/>
        <w:jc w:val="left"/>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三）加强对体质健康测试相关文件的宣传和学习，特别是要让学生更进一步地了解体质健康测试的重要性，能重视并正确对待《标准》测试。制定增强体质的科学地锻炼方法，各测试项目的生理功能简介及测试方式，上传至体育部的网站并利用自媒体的方式在学生中间传阅。</w:t>
      </w:r>
    </w:p>
    <w:p w:rsidR="005A4DD7" w:rsidRPr="005A4150" w:rsidRDefault="005A4DD7" w:rsidP="005A4DD7">
      <w:pPr>
        <w:widowControl/>
        <w:spacing w:line="440" w:lineRule="exact"/>
        <w:ind w:firstLineChars="1900" w:firstLine="5320"/>
        <w:jc w:val="left"/>
        <w:rPr>
          <w:rFonts w:asciiTheme="minorEastAsia" w:hAnsiTheme="minorEastAsia" w:cstheme="minorEastAsia"/>
          <w:sz w:val="28"/>
          <w:szCs w:val="28"/>
        </w:rPr>
      </w:pPr>
      <w:r>
        <w:rPr>
          <w:rFonts w:asciiTheme="minorEastAsia" w:hAnsiTheme="minorEastAsia" w:cstheme="minorEastAsia" w:hint="eastAsia"/>
          <w:kern w:val="0"/>
          <w:sz w:val="28"/>
          <w:szCs w:val="28"/>
          <w:lang/>
        </w:rPr>
        <w:t>体育部</w:t>
      </w:r>
    </w:p>
    <w:p w:rsidR="005A4DD7" w:rsidRDefault="005A4DD7" w:rsidP="005A4DD7">
      <w:pPr>
        <w:widowControl/>
        <w:spacing w:line="440" w:lineRule="exact"/>
        <w:ind w:right="1120"/>
        <w:jc w:val="center"/>
        <w:rPr>
          <w:rFonts w:asciiTheme="minorEastAsia" w:hAnsiTheme="minorEastAsia" w:cstheme="minorEastAsia"/>
          <w:kern w:val="0"/>
          <w:sz w:val="28"/>
          <w:szCs w:val="28"/>
          <w:lang/>
        </w:rPr>
      </w:pPr>
      <w:r>
        <w:rPr>
          <w:rFonts w:asciiTheme="minorEastAsia" w:hAnsiTheme="minorEastAsia" w:cstheme="minorEastAsia" w:hint="eastAsia"/>
          <w:kern w:val="0"/>
          <w:sz w:val="28"/>
          <w:szCs w:val="28"/>
          <w:lang/>
        </w:rPr>
        <w:t>2018年</w:t>
      </w:r>
      <w:r>
        <w:rPr>
          <w:rFonts w:asciiTheme="minorEastAsia" w:hAnsiTheme="minorEastAsia" w:cstheme="minorEastAsia"/>
          <w:kern w:val="0"/>
          <w:sz w:val="28"/>
          <w:szCs w:val="28"/>
          <w:lang/>
        </w:rPr>
        <w:t>3</w:t>
      </w:r>
      <w:r>
        <w:rPr>
          <w:rFonts w:asciiTheme="minorEastAsia" w:hAnsiTheme="minorEastAsia" w:cstheme="minorEastAsia" w:hint="eastAsia"/>
          <w:kern w:val="0"/>
          <w:sz w:val="28"/>
          <w:szCs w:val="28"/>
          <w:lang/>
        </w:rPr>
        <w:t>月1</w:t>
      </w:r>
      <w:bookmarkStart w:id="0" w:name="_GoBack"/>
      <w:bookmarkEnd w:id="0"/>
      <w:r>
        <w:rPr>
          <w:rFonts w:asciiTheme="minorEastAsia" w:hAnsiTheme="minorEastAsia" w:cstheme="minorEastAsia" w:hint="eastAsia"/>
          <w:kern w:val="0"/>
          <w:sz w:val="28"/>
          <w:szCs w:val="28"/>
          <w:lang/>
        </w:rPr>
        <w:t>5日</w:t>
      </w:r>
    </w:p>
    <w:p w:rsidR="00F222E3" w:rsidRDefault="00F222E3"/>
    <w:sectPr w:rsidR="00F222E3" w:rsidSect="00BB5C64">
      <w:headerReference w:type="even" r:id="rId5"/>
      <w:headerReference w:type="default" r:id="rId6"/>
      <w:footerReference w:type="default" r:id="rId7"/>
      <w:pgSz w:w="11906" w:h="16838"/>
      <w:pgMar w:top="1270" w:right="1800" w:bottom="1270" w:left="1800" w:header="851" w:footer="992" w:gutter="0"/>
      <w:pgNumType w:start="0"/>
      <w:cols w:space="0"/>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50" w:rsidRDefault="000C3D12">
    <w:pPr>
      <w:pStyle w:val="a3"/>
    </w:pPr>
    <w:r>
      <w:rPr>
        <w:noProof/>
      </w:rPr>
      <w:pict>
        <v:shapetype id="_x0000_t202" coordsize="21600,21600" o:spt="202" path="m,l,21600r21600,l21600,xe">
          <v:stroke joinstyle="miter"/>
          <v:path gradientshapeok="t" o:connecttype="rect"/>
        </v:shapetype>
        <v:shape id="文本框 1" o:spid="_x0000_s1025" type="#_x0000_t202" style="position:absolute;margin-left:196.8pt;margin-top:0;width:2in;height:2in;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A4150" w:rsidRDefault="000C3D1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5A4DD7">
                  <w:rPr>
                    <w:noProof/>
                    <w:sz w:val="18"/>
                  </w:rPr>
                  <w:t>1</w:t>
                </w:r>
                <w:r>
                  <w:rPr>
                    <w:rFonts w:hint="eastAsia"/>
                    <w:sz w:val="18"/>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50" w:rsidRDefault="000C3D12" w:rsidP="00B97DAC">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150" w:rsidRDefault="000C3D12" w:rsidP="0007700C">
    <w:pPr>
      <w:pStyle w:val="a4"/>
      <w:pBdr>
        <w:top w:val="none" w:sz="0" w:space="2" w:color="auto"/>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0FAC3"/>
    <w:multiLevelType w:val="singleLevel"/>
    <w:tmpl w:val="5840FAC3"/>
    <w:lvl w:ilvl="0">
      <w:start w:val="1"/>
      <w:numFmt w:val="decimal"/>
      <w:suff w:val="nothing"/>
      <w:lvlText w:val="%1、"/>
      <w:lvlJc w:val="left"/>
    </w:lvl>
  </w:abstractNum>
  <w:abstractNum w:abstractNumId="1">
    <w:nsid w:val="5840FDB9"/>
    <w:multiLevelType w:val="singleLevel"/>
    <w:tmpl w:val="5840FDB9"/>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5A4DD7"/>
    <w:rsid w:val="000C3D12"/>
    <w:rsid w:val="005A4DD7"/>
    <w:rsid w:val="00F22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DD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A4DD7"/>
    <w:pPr>
      <w:tabs>
        <w:tab w:val="center" w:pos="4153"/>
        <w:tab w:val="right" w:pos="8306"/>
      </w:tabs>
      <w:snapToGrid w:val="0"/>
      <w:jc w:val="left"/>
    </w:pPr>
    <w:rPr>
      <w:sz w:val="18"/>
    </w:rPr>
  </w:style>
  <w:style w:type="character" w:customStyle="1" w:styleId="Char">
    <w:name w:val="页脚 Char"/>
    <w:basedOn w:val="a0"/>
    <w:link w:val="a3"/>
    <w:uiPriority w:val="99"/>
    <w:rsid w:val="005A4DD7"/>
    <w:rPr>
      <w:sz w:val="18"/>
      <w:szCs w:val="24"/>
    </w:rPr>
  </w:style>
  <w:style w:type="paragraph" w:styleId="a4">
    <w:name w:val="header"/>
    <w:basedOn w:val="a"/>
    <w:link w:val="Char0"/>
    <w:qFormat/>
    <w:rsid w:val="005A4D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5A4DD7"/>
    <w:rPr>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642</Words>
  <Characters>3663</Characters>
  <Application>Microsoft Office Word</Application>
  <DocSecurity>0</DocSecurity>
  <Lines>30</Lines>
  <Paragraphs>8</Paragraphs>
  <ScaleCrop>false</ScaleCrop>
  <Company>微软中国</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2018-03-16T07:42:00Z</dcterms:created>
  <dcterms:modified xsi:type="dcterms:W3CDTF">2018-03-16T07:42:00Z</dcterms:modified>
</cp:coreProperties>
</file>